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53" w:rsidRDefault="00566453">
      <w:bookmarkStart w:id="0" w:name="_GoBack"/>
      <w:bookmarkEnd w:id="0"/>
    </w:p>
    <w:p w:rsidR="00566453" w:rsidRDefault="00786D09">
      <w:pPr>
        <w:ind w:left="1700"/>
        <w:rPr>
          <w:rFonts w:ascii="Arial" w:eastAsia="Arial" w:hAnsi="Arial" w:cs="Arial"/>
          <w:b/>
          <w:sz w:val="48"/>
          <w:szCs w:val="48"/>
        </w:rPr>
      </w:pPr>
      <w:r>
        <w:rPr>
          <w:rFonts w:ascii="Arial" w:eastAsia="Arial" w:hAnsi="Arial" w:cs="Arial"/>
          <w:b/>
          <w:sz w:val="48"/>
          <w:szCs w:val="48"/>
        </w:rPr>
        <w:t xml:space="preserve">   </w:t>
      </w:r>
      <w:r>
        <w:rPr>
          <w:noProof/>
          <w:lang w:val="en-US" w:eastAsia="en-US"/>
        </w:rPr>
        <w:drawing>
          <wp:anchor distT="0" distB="0" distL="0" distR="0" simplePos="0" relativeHeight="251658240" behindDoc="0" locked="0" layoutInCell="1" hidden="0" allowOverlap="1">
            <wp:simplePos x="0" y="0"/>
            <wp:positionH relativeFrom="column">
              <wp:posOffset>76200</wp:posOffset>
            </wp:positionH>
            <wp:positionV relativeFrom="paragraph">
              <wp:posOffset>38100</wp:posOffset>
            </wp:positionV>
            <wp:extent cx="1108075" cy="9525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08075" cy="952500"/>
                    </a:xfrm>
                    <a:prstGeom prst="rect">
                      <a:avLst/>
                    </a:prstGeom>
                    <a:ln/>
                  </pic:spPr>
                </pic:pic>
              </a:graphicData>
            </a:graphic>
          </wp:anchor>
        </w:drawing>
      </w:r>
    </w:p>
    <w:p w:rsidR="00566453" w:rsidRDefault="00566453">
      <w:pPr>
        <w:ind w:left="4580" w:hanging="1700"/>
        <w:rPr>
          <w:rFonts w:ascii="Arial" w:eastAsia="Arial" w:hAnsi="Arial" w:cs="Arial"/>
          <w:b/>
          <w:sz w:val="48"/>
          <w:szCs w:val="48"/>
        </w:rPr>
      </w:pPr>
    </w:p>
    <w:p w:rsidR="00566453" w:rsidRDefault="00786D09">
      <w:pPr>
        <w:ind w:left="4580" w:hanging="1700"/>
        <w:rPr>
          <w:rFonts w:ascii="Arial" w:eastAsia="Arial" w:hAnsi="Arial" w:cs="Arial"/>
          <w:b/>
          <w:sz w:val="48"/>
          <w:szCs w:val="48"/>
        </w:rPr>
      </w:pPr>
      <w:r>
        <w:rPr>
          <w:rFonts w:ascii="Arial" w:eastAsia="Arial" w:hAnsi="Arial" w:cs="Arial"/>
          <w:b/>
          <w:sz w:val="48"/>
          <w:szCs w:val="48"/>
        </w:rPr>
        <w:t>Risk Assessment</w:t>
      </w:r>
    </w:p>
    <w:p w:rsidR="00566453" w:rsidRDefault="00566453">
      <w:pPr>
        <w:ind w:left="4580" w:hanging="1700"/>
        <w:rPr>
          <w:rFonts w:ascii="Arial" w:eastAsia="Arial" w:hAnsi="Arial" w:cs="Arial"/>
          <w:b/>
          <w:sz w:val="16"/>
          <w:szCs w:val="16"/>
        </w:rPr>
      </w:pPr>
    </w:p>
    <w:tbl>
      <w:tblPr>
        <w:tblStyle w:val="a"/>
        <w:tblW w:w="9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6"/>
        <w:gridCol w:w="5445"/>
      </w:tblGrid>
      <w:tr w:rsidR="00566453">
        <w:trPr>
          <w:trHeight w:val="230"/>
        </w:trPr>
        <w:tc>
          <w:tcPr>
            <w:tcW w:w="4536" w:type="dxa"/>
            <w:vMerge w:val="restart"/>
            <w:vAlign w:val="bottom"/>
          </w:tcPr>
          <w:p w:rsidR="00566453" w:rsidRDefault="00786D09">
            <w:pPr>
              <w:ind w:left="141"/>
              <w:rPr>
                <w:rFonts w:ascii="Arial" w:eastAsia="Arial" w:hAnsi="Arial" w:cs="Arial"/>
                <w:sz w:val="20"/>
                <w:szCs w:val="20"/>
              </w:rPr>
            </w:pPr>
            <w:r>
              <w:rPr>
                <w:rFonts w:ascii="Arial" w:eastAsia="Arial" w:hAnsi="Arial" w:cs="Arial"/>
                <w:b/>
                <w:sz w:val="20"/>
                <w:szCs w:val="20"/>
              </w:rPr>
              <w:t xml:space="preserve">Course/Road(s) Assessed: </w:t>
            </w:r>
            <w:r>
              <w:rPr>
                <w:rFonts w:ascii="Arial" w:eastAsia="Arial" w:hAnsi="Arial" w:cs="Arial"/>
                <w:sz w:val="20"/>
                <w:szCs w:val="20"/>
              </w:rPr>
              <w:t>A417, A435, Welsh Way</w:t>
            </w:r>
          </w:p>
          <w:p w:rsidR="00566453" w:rsidRDefault="00566453">
            <w:pPr>
              <w:ind w:left="141"/>
              <w:rPr>
                <w:rFonts w:ascii="Arial" w:eastAsia="Arial" w:hAnsi="Arial" w:cs="Arial"/>
                <w:sz w:val="20"/>
                <w:szCs w:val="20"/>
              </w:rPr>
            </w:pPr>
          </w:p>
        </w:tc>
        <w:tc>
          <w:tcPr>
            <w:tcW w:w="5445" w:type="dxa"/>
            <w:vMerge w:val="restart"/>
            <w:vAlign w:val="bottom"/>
          </w:tcPr>
          <w:p w:rsidR="00566453" w:rsidRDefault="00566453">
            <w:pPr>
              <w:ind w:left="141" w:right="2034"/>
              <w:rPr>
                <w:rFonts w:ascii="Arial" w:eastAsia="Arial" w:hAnsi="Arial" w:cs="Arial"/>
                <w:b/>
                <w:sz w:val="20"/>
                <w:szCs w:val="20"/>
              </w:rPr>
            </w:pPr>
          </w:p>
          <w:p w:rsidR="00566453" w:rsidRDefault="00786D09">
            <w:pPr>
              <w:ind w:left="141" w:right="2034"/>
              <w:rPr>
                <w:rFonts w:ascii="Arial" w:eastAsia="Arial" w:hAnsi="Arial" w:cs="Arial"/>
                <w:sz w:val="20"/>
                <w:szCs w:val="20"/>
              </w:rPr>
            </w:pPr>
            <w:r>
              <w:rPr>
                <w:rFonts w:ascii="Arial" w:eastAsia="Arial" w:hAnsi="Arial" w:cs="Arial"/>
                <w:b/>
                <w:sz w:val="20"/>
                <w:szCs w:val="20"/>
              </w:rPr>
              <w:t xml:space="preserve">Course: </w:t>
            </w:r>
            <w:r>
              <w:rPr>
                <w:rFonts w:ascii="Arial" w:eastAsia="Arial" w:hAnsi="Arial" w:cs="Arial"/>
                <w:sz w:val="20"/>
                <w:szCs w:val="20"/>
              </w:rPr>
              <w:t>U75</w:t>
            </w:r>
          </w:p>
          <w:p w:rsidR="00566453" w:rsidRDefault="00566453">
            <w:pPr>
              <w:ind w:left="141" w:right="2034"/>
              <w:rPr>
                <w:rFonts w:ascii="Arial" w:eastAsia="Arial" w:hAnsi="Arial" w:cs="Arial"/>
                <w:b/>
                <w:sz w:val="20"/>
                <w:szCs w:val="20"/>
              </w:rPr>
            </w:pPr>
          </w:p>
          <w:p w:rsidR="00566453" w:rsidRDefault="00566453">
            <w:pPr>
              <w:ind w:left="141" w:right="2034"/>
              <w:rPr>
                <w:rFonts w:ascii="Arial" w:eastAsia="Arial" w:hAnsi="Arial" w:cs="Arial"/>
                <w:b/>
                <w:sz w:val="20"/>
                <w:szCs w:val="20"/>
              </w:rPr>
            </w:pPr>
          </w:p>
        </w:tc>
      </w:tr>
      <w:tr w:rsidR="00566453">
        <w:trPr>
          <w:trHeight w:val="253"/>
        </w:trPr>
        <w:tc>
          <w:tcPr>
            <w:tcW w:w="4536" w:type="dxa"/>
            <w:vMerge/>
            <w:vAlign w:val="bottom"/>
          </w:tcPr>
          <w:p w:rsidR="00566453" w:rsidRDefault="00566453">
            <w:pPr>
              <w:widowControl w:val="0"/>
              <w:pBdr>
                <w:top w:val="nil"/>
                <w:left w:val="nil"/>
                <w:bottom w:val="nil"/>
                <w:right w:val="nil"/>
                <w:between w:val="nil"/>
              </w:pBdr>
              <w:spacing w:line="276" w:lineRule="auto"/>
            </w:pPr>
          </w:p>
        </w:tc>
        <w:tc>
          <w:tcPr>
            <w:tcW w:w="5445" w:type="dxa"/>
            <w:vMerge/>
            <w:vAlign w:val="bottom"/>
          </w:tcPr>
          <w:p w:rsidR="00566453" w:rsidRDefault="00566453">
            <w:pPr>
              <w:widowControl w:val="0"/>
              <w:pBdr>
                <w:top w:val="nil"/>
                <w:left w:val="nil"/>
                <w:bottom w:val="nil"/>
                <w:right w:val="nil"/>
                <w:between w:val="nil"/>
              </w:pBdr>
              <w:spacing w:line="276" w:lineRule="auto"/>
            </w:pPr>
          </w:p>
        </w:tc>
      </w:tr>
      <w:tr w:rsidR="00566453">
        <w:trPr>
          <w:trHeight w:val="440"/>
        </w:trPr>
        <w:tc>
          <w:tcPr>
            <w:tcW w:w="4536" w:type="dxa"/>
            <w:vAlign w:val="bottom"/>
          </w:tcPr>
          <w:p w:rsidR="00566453" w:rsidRDefault="00786D09">
            <w:pPr>
              <w:ind w:left="141"/>
              <w:rPr>
                <w:rFonts w:ascii="Arial" w:eastAsia="Arial" w:hAnsi="Arial" w:cs="Arial"/>
                <w:sz w:val="20"/>
                <w:szCs w:val="20"/>
              </w:rPr>
            </w:pPr>
            <w:r>
              <w:rPr>
                <w:rFonts w:ascii="Arial" w:eastAsia="Arial" w:hAnsi="Arial" w:cs="Arial"/>
                <w:b/>
                <w:sz w:val="20"/>
                <w:szCs w:val="20"/>
              </w:rPr>
              <w:t>Date of Assessment/Review:</w:t>
            </w:r>
            <w:r>
              <w:rPr>
                <w:rFonts w:ascii="Arial" w:eastAsia="Arial" w:hAnsi="Arial" w:cs="Arial"/>
                <w:sz w:val="20"/>
                <w:szCs w:val="20"/>
              </w:rPr>
              <w:t xml:space="preserve"> 31 March 2019</w:t>
            </w:r>
          </w:p>
          <w:p w:rsidR="00566453" w:rsidRDefault="00566453">
            <w:pPr>
              <w:ind w:left="141"/>
              <w:rPr>
                <w:rFonts w:ascii="Arial" w:eastAsia="Arial" w:hAnsi="Arial" w:cs="Arial"/>
                <w:sz w:val="20"/>
                <w:szCs w:val="20"/>
              </w:rPr>
            </w:pPr>
          </w:p>
        </w:tc>
        <w:tc>
          <w:tcPr>
            <w:tcW w:w="5445" w:type="dxa"/>
            <w:vAlign w:val="bottom"/>
          </w:tcPr>
          <w:p w:rsidR="00566453" w:rsidRDefault="00566453">
            <w:pPr>
              <w:ind w:left="141" w:right="2014"/>
              <w:rPr>
                <w:rFonts w:ascii="Arial" w:eastAsia="Arial" w:hAnsi="Arial" w:cs="Arial"/>
                <w:b/>
                <w:sz w:val="20"/>
                <w:szCs w:val="20"/>
              </w:rPr>
            </w:pPr>
          </w:p>
          <w:p w:rsidR="00566453" w:rsidRDefault="00786D09">
            <w:pPr>
              <w:ind w:left="141" w:right="2014"/>
              <w:rPr>
                <w:rFonts w:ascii="Arial" w:eastAsia="Arial" w:hAnsi="Arial" w:cs="Arial"/>
                <w:sz w:val="20"/>
                <w:szCs w:val="20"/>
              </w:rPr>
            </w:pPr>
            <w:r>
              <w:rPr>
                <w:rFonts w:ascii="Arial" w:eastAsia="Arial" w:hAnsi="Arial" w:cs="Arial"/>
                <w:b/>
                <w:sz w:val="20"/>
                <w:szCs w:val="20"/>
              </w:rPr>
              <w:t xml:space="preserve">Name of Assessor: </w:t>
            </w:r>
            <w:r>
              <w:rPr>
                <w:rFonts w:ascii="Arial" w:eastAsia="Arial" w:hAnsi="Arial" w:cs="Arial"/>
                <w:sz w:val="20"/>
                <w:szCs w:val="20"/>
              </w:rPr>
              <w:t>Harry Walton</w:t>
            </w:r>
          </w:p>
          <w:p w:rsidR="00566453" w:rsidRDefault="00566453">
            <w:pPr>
              <w:ind w:left="141" w:right="2014"/>
              <w:rPr>
                <w:rFonts w:ascii="Arial" w:eastAsia="Arial" w:hAnsi="Arial" w:cs="Arial"/>
                <w:sz w:val="20"/>
                <w:szCs w:val="20"/>
              </w:rPr>
            </w:pPr>
          </w:p>
        </w:tc>
      </w:tr>
      <w:tr w:rsidR="00566453">
        <w:trPr>
          <w:trHeight w:val="440"/>
        </w:trPr>
        <w:tc>
          <w:tcPr>
            <w:tcW w:w="9981" w:type="dxa"/>
            <w:gridSpan w:val="2"/>
            <w:vMerge w:val="restart"/>
            <w:tcBorders>
              <w:top w:val="single" w:sz="8" w:space="0" w:color="000000"/>
              <w:left w:val="single" w:sz="8" w:space="0" w:color="000000"/>
              <w:bottom w:val="single" w:sz="8" w:space="0" w:color="000000"/>
              <w:right w:val="single" w:sz="8" w:space="0" w:color="000000"/>
            </w:tcBorders>
          </w:tcPr>
          <w:p w:rsidR="00566453" w:rsidRDefault="00566453">
            <w:pPr>
              <w:spacing w:before="120" w:after="120"/>
              <w:ind w:left="141"/>
              <w:rPr>
                <w:rFonts w:ascii="Arial" w:eastAsia="Arial" w:hAnsi="Arial" w:cs="Arial"/>
                <w:b/>
                <w:sz w:val="20"/>
                <w:szCs w:val="20"/>
              </w:rPr>
            </w:pPr>
          </w:p>
          <w:p w:rsidR="00566453" w:rsidRDefault="00786D09">
            <w:pPr>
              <w:spacing w:before="120" w:after="120"/>
              <w:ind w:left="141"/>
              <w:rPr>
                <w:rFonts w:ascii="Arial" w:eastAsia="Arial" w:hAnsi="Arial" w:cs="Arial"/>
                <w:sz w:val="20"/>
                <w:szCs w:val="20"/>
              </w:rPr>
            </w:pPr>
            <w:r>
              <w:rPr>
                <w:rFonts w:ascii="Arial" w:eastAsia="Arial" w:hAnsi="Arial" w:cs="Arial"/>
                <w:b/>
                <w:sz w:val="20"/>
                <w:szCs w:val="20"/>
              </w:rPr>
              <w:t xml:space="preserve">Course Description: </w:t>
            </w:r>
            <w:r>
              <w:rPr>
                <w:rFonts w:ascii="Arial" w:eastAsia="Arial" w:hAnsi="Arial" w:cs="Arial"/>
                <w:sz w:val="20"/>
                <w:szCs w:val="20"/>
              </w:rPr>
              <w:t xml:space="preserve">START on Gloucester Road in south end of layby 650m south of A417 junction. Proceed 1.4 miles south to Stratton and TURN LEFT onto A435. Proceed 10.9 miles to Severn Springs Roundabout. TAKE THIRD EXIT to </w:t>
            </w:r>
            <w:proofErr w:type="spellStart"/>
            <w:r>
              <w:rPr>
                <w:rFonts w:ascii="Arial" w:eastAsia="Arial" w:hAnsi="Arial" w:cs="Arial"/>
                <w:sz w:val="20"/>
                <w:szCs w:val="20"/>
              </w:rPr>
              <w:t>rejoin</w:t>
            </w:r>
            <w:proofErr w:type="spellEnd"/>
            <w:r>
              <w:rPr>
                <w:rFonts w:ascii="Arial" w:eastAsia="Arial" w:hAnsi="Arial" w:cs="Arial"/>
                <w:sz w:val="20"/>
                <w:szCs w:val="20"/>
              </w:rPr>
              <w:t xml:space="preserve"> A435 on southbound carriageway. Proceed 8.2 miles to finish adjacent to south end of layby north of </w:t>
            </w:r>
            <w:proofErr w:type="spellStart"/>
            <w:r>
              <w:rPr>
                <w:rFonts w:ascii="Arial" w:eastAsia="Arial" w:hAnsi="Arial" w:cs="Arial"/>
                <w:sz w:val="20"/>
                <w:szCs w:val="20"/>
              </w:rPr>
              <w:t>Perrots</w:t>
            </w:r>
            <w:proofErr w:type="spellEnd"/>
            <w:r>
              <w:rPr>
                <w:rFonts w:ascii="Arial" w:eastAsia="Arial" w:hAnsi="Arial" w:cs="Arial"/>
                <w:sz w:val="20"/>
                <w:szCs w:val="20"/>
              </w:rPr>
              <w:t xml:space="preserve"> Brook.</w:t>
            </w:r>
          </w:p>
          <w:p w:rsidR="00566453" w:rsidRDefault="00786D09">
            <w:pPr>
              <w:spacing w:before="120" w:after="120"/>
              <w:ind w:left="141"/>
              <w:rPr>
                <w:rFonts w:ascii="Arial" w:eastAsia="Arial" w:hAnsi="Arial" w:cs="Arial"/>
                <w:sz w:val="20"/>
                <w:szCs w:val="20"/>
              </w:rPr>
            </w:pPr>
            <w:r>
              <w:rPr>
                <w:rFonts w:ascii="Arial" w:eastAsia="Arial" w:hAnsi="Arial" w:cs="Arial"/>
                <w:sz w:val="20"/>
                <w:szCs w:val="20"/>
              </w:rPr>
              <w:t xml:space="preserve">Link: </w:t>
            </w:r>
            <w:hyperlink r:id="rId7">
              <w:r>
                <w:rPr>
                  <w:rFonts w:ascii="Arial" w:eastAsia="Arial" w:hAnsi="Arial" w:cs="Arial"/>
                  <w:color w:val="1155CC"/>
                  <w:sz w:val="20"/>
                  <w:szCs w:val="20"/>
                  <w:u w:val="single"/>
                </w:rPr>
                <w:t>https://www.cyclingtimetrials.org.uk/course-details/u75</w:t>
              </w:r>
            </w:hyperlink>
          </w:p>
          <w:p w:rsidR="00566453" w:rsidRDefault="00566453">
            <w:pPr>
              <w:spacing w:before="120" w:after="120"/>
              <w:ind w:left="141"/>
            </w:pPr>
          </w:p>
        </w:tc>
      </w:tr>
      <w:tr w:rsidR="00566453">
        <w:trPr>
          <w:trHeight w:val="820"/>
        </w:trPr>
        <w:tc>
          <w:tcPr>
            <w:tcW w:w="9981" w:type="dxa"/>
            <w:gridSpan w:val="2"/>
            <w:vMerge/>
            <w:tcBorders>
              <w:top w:val="single" w:sz="8" w:space="0" w:color="000000"/>
              <w:left w:val="single" w:sz="8" w:space="0" w:color="000000"/>
              <w:bottom w:val="single" w:sz="8" w:space="0" w:color="000000"/>
              <w:right w:val="single" w:sz="8" w:space="0" w:color="000000"/>
            </w:tcBorders>
          </w:tcPr>
          <w:p w:rsidR="00566453" w:rsidRDefault="00566453">
            <w:pPr>
              <w:widowControl w:val="0"/>
              <w:pBdr>
                <w:top w:val="nil"/>
                <w:left w:val="nil"/>
                <w:bottom w:val="nil"/>
                <w:right w:val="nil"/>
                <w:between w:val="nil"/>
              </w:pBdr>
              <w:spacing w:line="276" w:lineRule="auto"/>
            </w:pPr>
          </w:p>
        </w:tc>
      </w:tr>
    </w:tbl>
    <w:p w:rsidR="00566453" w:rsidRDefault="00566453">
      <w:pPr>
        <w:rPr>
          <w:rFonts w:ascii="Times New Roman" w:eastAsia="Times New Roman" w:hAnsi="Times New Roman" w:cs="Times New Roman"/>
          <w:sz w:val="24"/>
          <w:szCs w:val="24"/>
        </w:rPr>
      </w:pPr>
    </w:p>
    <w:p w:rsidR="00566453" w:rsidRDefault="00566453">
      <w:pPr>
        <w:rPr>
          <w:rFonts w:ascii="Times New Roman" w:eastAsia="Times New Roman" w:hAnsi="Times New Roman" w:cs="Times New Roman"/>
          <w:sz w:val="24"/>
          <w:szCs w:val="24"/>
        </w:rPr>
      </w:pPr>
    </w:p>
    <w:tbl>
      <w:tblPr>
        <w:tblStyle w:val="a0"/>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85"/>
      </w:tblGrid>
      <w:tr w:rsidR="00566453">
        <w:tc>
          <w:tcPr>
            <w:tcW w:w="9885" w:type="dxa"/>
            <w:shd w:val="clear" w:color="auto" w:fill="auto"/>
            <w:tcMar>
              <w:top w:w="100" w:type="dxa"/>
              <w:left w:w="100" w:type="dxa"/>
              <w:bottom w:w="100" w:type="dxa"/>
              <w:right w:w="100" w:type="dxa"/>
            </w:tcMar>
          </w:tcPr>
          <w:p w:rsidR="00566453" w:rsidRDefault="00786D09">
            <w:pPr>
              <w:spacing w:before="120" w:after="120"/>
              <w:ind w:left="283"/>
              <w:rPr>
                <w:rFonts w:ascii="Times New Roman" w:eastAsia="Times New Roman" w:hAnsi="Times New Roman" w:cs="Times New Roman"/>
                <w:sz w:val="24"/>
                <w:szCs w:val="24"/>
              </w:rPr>
            </w:pPr>
            <w:r>
              <w:rPr>
                <w:rFonts w:ascii="Arial" w:eastAsia="Arial" w:hAnsi="Arial" w:cs="Arial"/>
                <w:b/>
                <w:sz w:val="20"/>
                <w:szCs w:val="20"/>
              </w:rPr>
              <w:t xml:space="preserve">Traffic Flows: </w:t>
            </w:r>
            <w:r>
              <w:rPr>
                <w:rFonts w:ascii="Arial" w:eastAsia="Arial" w:hAnsi="Arial" w:cs="Arial"/>
                <w:sz w:val="20"/>
                <w:szCs w:val="20"/>
              </w:rPr>
              <w:t>Traffic count to follow, though A435 has moderate traffic flows, other roads have light traffic flows</w:t>
            </w:r>
          </w:p>
        </w:tc>
      </w:tr>
    </w:tbl>
    <w:p w:rsidR="00566453" w:rsidRDefault="00566453">
      <w:pPr>
        <w:rPr>
          <w:rFonts w:ascii="Times New Roman" w:eastAsia="Times New Roman" w:hAnsi="Times New Roman" w:cs="Times New Roman"/>
          <w:sz w:val="24"/>
          <w:szCs w:val="24"/>
        </w:rPr>
      </w:pPr>
    </w:p>
    <w:p w:rsidR="00566453" w:rsidRDefault="00566453">
      <w:pPr>
        <w:rPr>
          <w:rFonts w:ascii="Times New Roman" w:eastAsia="Times New Roman" w:hAnsi="Times New Roman" w:cs="Times New Roman"/>
          <w:sz w:val="24"/>
          <w:szCs w:val="24"/>
        </w:rPr>
      </w:pPr>
    </w:p>
    <w:tbl>
      <w:tblPr>
        <w:tblStyle w:val="a1"/>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85"/>
      </w:tblGrid>
      <w:tr w:rsidR="00566453">
        <w:tc>
          <w:tcPr>
            <w:tcW w:w="9885" w:type="dxa"/>
            <w:shd w:val="clear" w:color="auto" w:fill="auto"/>
            <w:tcMar>
              <w:top w:w="100" w:type="dxa"/>
              <w:left w:w="100" w:type="dxa"/>
              <w:bottom w:w="100" w:type="dxa"/>
              <w:right w:w="100" w:type="dxa"/>
            </w:tcMar>
          </w:tcPr>
          <w:p w:rsidR="00566453" w:rsidRDefault="00786D09">
            <w:pPr>
              <w:spacing w:before="120" w:after="120"/>
              <w:ind w:left="283"/>
              <w:rPr>
                <w:rFonts w:ascii="Times New Roman" w:eastAsia="Times New Roman" w:hAnsi="Times New Roman" w:cs="Times New Roman"/>
                <w:sz w:val="24"/>
                <w:szCs w:val="24"/>
              </w:rPr>
            </w:pPr>
            <w:r>
              <w:rPr>
                <w:rFonts w:ascii="Arial" w:eastAsia="Arial" w:hAnsi="Arial" w:cs="Arial"/>
                <w:b/>
                <w:sz w:val="20"/>
                <w:szCs w:val="20"/>
              </w:rPr>
              <w:t xml:space="preserve">Course / Event History: </w:t>
            </w:r>
            <w:r>
              <w:rPr>
                <w:rFonts w:ascii="Arial" w:eastAsia="Arial" w:hAnsi="Arial" w:cs="Arial"/>
                <w:sz w:val="20"/>
                <w:szCs w:val="20"/>
              </w:rPr>
              <w:t xml:space="preserve">Course introduced in 2015, now approach 3rd usage in </w:t>
            </w:r>
            <w:proofErr w:type="spellStart"/>
            <w:r>
              <w:rPr>
                <w:rFonts w:ascii="Arial" w:eastAsia="Arial" w:hAnsi="Arial" w:cs="Arial"/>
                <w:sz w:val="20"/>
                <w:szCs w:val="20"/>
              </w:rPr>
              <w:t>Hardrider</w:t>
            </w:r>
            <w:proofErr w:type="spellEnd"/>
            <w:r>
              <w:rPr>
                <w:rFonts w:ascii="Arial" w:eastAsia="Arial" w:hAnsi="Arial" w:cs="Arial"/>
                <w:sz w:val="20"/>
                <w:szCs w:val="20"/>
              </w:rPr>
              <w:t xml:space="preserve"> Series. No issues with RA or on-the-day conditions experienced thus far</w:t>
            </w:r>
          </w:p>
        </w:tc>
      </w:tr>
    </w:tbl>
    <w:p w:rsidR="00566453" w:rsidRDefault="00566453">
      <w:pPr>
        <w:rPr>
          <w:rFonts w:ascii="Times New Roman" w:eastAsia="Times New Roman" w:hAnsi="Times New Roman" w:cs="Times New Roman"/>
          <w:sz w:val="24"/>
          <w:szCs w:val="24"/>
        </w:rPr>
      </w:pPr>
    </w:p>
    <w:p w:rsidR="00566453" w:rsidRDefault="00566453">
      <w:pPr>
        <w:spacing w:line="323" w:lineRule="auto"/>
        <w:rPr>
          <w:rFonts w:ascii="Times New Roman" w:eastAsia="Times New Roman" w:hAnsi="Times New Roman" w:cs="Times New Roman"/>
          <w:sz w:val="24"/>
          <w:szCs w:val="24"/>
        </w:rPr>
      </w:pPr>
    </w:p>
    <w:p w:rsidR="00566453" w:rsidRDefault="00786D09">
      <w:pPr>
        <w:ind w:left="120"/>
        <w:rPr>
          <w:rFonts w:ascii="Arial" w:eastAsia="Arial" w:hAnsi="Arial" w:cs="Arial"/>
          <w:b/>
          <w:sz w:val="24"/>
          <w:szCs w:val="24"/>
        </w:rPr>
      </w:pPr>
      <w:r>
        <w:rPr>
          <w:rFonts w:ascii="Arial" w:eastAsia="Arial" w:hAnsi="Arial" w:cs="Arial"/>
          <w:b/>
          <w:sz w:val="24"/>
          <w:szCs w:val="24"/>
        </w:rPr>
        <w:t>Key Identified Risks</w:t>
      </w:r>
    </w:p>
    <w:p w:rsidR="00566453" w:rsidRDefault="00566453">
      <w:pPr>
        <w:ind w:left="120"/>
        <w:rPr>
          <w:rFonts w:ascii="Arial" w:eastAsia="Arial" w:hAnsi="Arial" w:cs="Arial"/>
          <w:b/>
          <w:sz w:val="24"/>
          <w:szCs w:val="24"/>
        </w:rPr>
      </w:pPr>
    </w:p>
    <w:p w:rsidR="00566453" w:rsidRDefault="00566453">
      <w:pPr>
        <w:ind w:left="120"/>
        <w:rPr>
          <w:rFonts w:ascii="Arial" w:eastAsia="Arial" w:hAnsi="Arial" w:cs="Arial"/>
          <w:b/>
          <w:sz w:val="24"/>
          <w:szCs w:val="24"/>
        </w:rPr>
      </w:pPr>
    </w:p>
    <w:p w:rsidR="00566453" w:rsidRDefault="00566453">
      <w:pPr>
        <w:widowControl w:val="0"/>
        <w:spacing w:line="400" w:lineRule="auto"/>
        <w:rPr>
          <w:rFonts w:ascii="Arial" w:eastAsia="Arial" w:hAnsi="Arial" w:cs="Arial"/>
          <w:b/>
          <w:sz w:val="24"/>
          <w:szCs w:val="24"/>
        </w:rPr>
      </w:pPr>
    </w:p>
    <w:tbl>
      <w:tblPr>
        <w:tblStyle w:val="a2"/>
        <w:tblW w:w="10335"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2370"/>
        <w:gridCol w:w="1800"/>
        <w:gridCol w:w="1530"/>
        <w:gridCol w:w="3525"/>
      </w:tblGrid>
      <w:tr w:rsidR="00566453">
        <w:tc>
          <w:tcPr>
            <w:tcW w:w="1110" w:type="dxa"/>
            <w:shd w:val="clear" w:color="auto" w:fill="auto"/>
            <w:tcMar>
              <w:top w:w="0" w:type="dxa"/>
              <w:left w:w="108" w:type="dxa"/>
              <w:bottom w:w="0" w:type="dxa"/>
              <w:right w:w="108" w:type="dxa"/>
            </w:tcMar>
          </w:tcPr>
          <w:p w:rsidR="00566453" w:rsidRDefault="00786D09">
            <w:pPr>
              <w:jc w:val="center"/>
              <w:rPr>
                <w:b/>
                <w:sz w:val="20"/>
                <w:szCs w:val="20"/>
              </w:rPr>
            </w:pPr>
            <w:r>
              <w:rPr>
                <w:b/>
                <w:sz w:val="20"/>
                <w:szCs w:val="20"/>
              </w:rPr>
              <w:t>Distance</w:t>
            </w:r>
          </w:p>
        </w:tc>
        <w:tc>
          <w:tcPr>
            <w:tcW w:w="2370" w:type="dxa"/>
            <w:shd w:val="clear" w:color="auto" w:fill="auto"/>
            <w:tcMar>
              <w:top w:w="0" w:type="dxa"/>
              <w:left w:w="108" w:type="dxa"/>
              <w:bottom w:w="0" w:type="dxa"/>
              <w:right w:w="108" w:type="dxa"/>
            </w:tcMar>
          </w:tcPr>
          <w:p w:rsidR="00566453" w:rsidRDefault="00786D09">
            <w:pPr>
              <w:jc w:val="center"/>
              <w:rPr>
                <w:b/>
                <w:sz w:val="20"/>
                <w:szCs w:val="20"/>
              </w:rPr>
            </w:pPr>
            <w:r>
              <w:rPr>
                <w:b/>
                <w:sz w:val="20"/>
                <w:szCs w:val="20"/>
              </w:rPr>
              <w:t>Location</w:t>
            </w:r>
          </w:p>
        </w:tc>
        <w:tc>
          <w:tcPr>
            <w:tcW w:w="1800" w:type="dxa"/>
            <w:shd w:val="clear" w:color="auto" w:fill="auto"/>
            <w:tcMar>
              <w:top w:w="0" w:type="dxa"/>
              <w:left w:w="108" w:type="dxa"/>
              <w:bottom w:w="0" w:type="dxa"/>
              <w:right w:w="108" w:type="dxa"/>
            </w:tcMar>
          </w:tcPr>
          <w:p w:rsidR="00566453" w:rsidRDefault="00786D09">
            <w:pPr>
              <w:jc w:val="center"/>
              <w:rPr>
                <w:b/>
                <w:sz w:val="20"/>
                <w:szCs w:val="20"/>
              </w:rPr>
            </w:pPr>
            <w:r>
              <w:rPr>
                <w:b/>
                <w:sz w:val="20"/>
                <w:szCs w:val="20"/>
              </w:rPr>
              <w:t>Identified Significant Risks / Hazards</w:t>
            </w:r>
          </w:p>
        </w:tc>
        <w:tc>
          <w:tcPr>
            <w:tcW w:w="1530" w:type="dxa"/>
            <w:shd w:val="clear" w:color="auto" w:fill="auto"/>
            <w:tcMar>
              <w:top w:w="0" w:type="dxa"/>
              <w:left w:w="108" w:type="dxa"/>
              <w:bottom w:w="0" w:type="dxa"/>
              <w:right w:w="108" w:type="dxa"/>
            </w:tcMar>
          </w:tcPr>
          <w:p w:rsidR="00566453" w:rsidRDefault="00786D09">
            <w:pPr>
              <w:jc w:val="center"/>
              <w:rPr>
                <w:b/>
                <w:sz w:val="20"/>
                <w:szCs w:val="20"/>
              </w:rPr>
            </w:pPr>
            <w:r>
              <w:rPr>
                <w:b/>
                <w:sz w:val="20"/>
                <w:szCs w:val="20"/>
              </w:rPr>
              <w:t>Level of Risk Low/Med/High</w:t>
            </w:r>
          </w:p>
        </w:tc>
        <w:tc>
          <w:tcPr>
            <w:tcW w:w="3525" w:type="dxa"/>
            <w:shd w:val="clear" w:color="auto" w:fill="auto"/>
            <w:tcMar>
              <w:top w:w="0" w:type="dxa"/>
              <w:left w:w="108" w:type="dxa"/>
              <w:bottom w:w="0" w:type="dxa"/>
              <w:right w:w="108" w:type="dxa"/>
            </w:tcMar>
          </w:tcPr>
          <w:p w:rsidR="00566453" w:rsidRDefault="00786D09">
            <w:pPr>
              <w:jc w:val="center"/>
              <w:rPr>
                <w:b/>
                <w:sz w:val="20"/>
                <w:szCs w:val="20"/>
              </w:rPr>
            </w:pPr>
            <w:r>
              <w:rPr>
                <w:b/>
                <w:sz w:val="20"/>
                <w:szCs w:val="20"/>
              </w:rPr>
              <w:t xml:space="preserve">Measures to Reduce Risk </w:t>
            </w:r>
          </w:p>
          <w:p w:rsidR="00566453" w:rsidRDefault="00786D09">
            <w:pPr>
              <w:jc w:val="center"/>
              <w:rPr>
                <w:sz w:val="20"/>
                <w:szCs w:val="20"/>
              </w:rPr>
            </w:pPr>
            <w:r>
              <w:rPr>
                <w:sz w:val="20"/>
                <w:szCs w:val="20"/>
              </w:rPr>
              <w:t>(if applicable)</w:t>
            </w:r>
          </w:p>
        </w:tc>
      </w:tr>
      <w:tr w:rsidR="00566453">
        <w:tc>
          <w:tcPr>
            <w:tcW w:w="1110" w:type="dxa"/>
            <w:shd w:val="clear" w:color="auto" w:fill="auto"/>
            <w:tcMar>
              <w:top w:w="0" w:type="dxa"/>
              <w:left w:w="108" w:type="dxa"/>
              <w:bottom w:w="0" w:type="dxa"/>
              <w:right w:w="108" w:type="dxa"/>
            </w:tcMar>
          </w:tcPr>
          <w:p w:rsidR="00566453" w:rsidRDefault="00786D09">
            <w:r>
              <w:t>0 miles</w:t>
            </w:r>
          </w:p>
        </w:tc>
        <w:tc>
          <w:tcPr>
            <w:tcW w:w="2370" w:type="dxa"/>
            <w:shd w:val="clear" w:color="auto" w:fill="auto"/>
            <w:tcMar>
              <w:top w:w="0" w:type="dxa"/>
              <w:left w:w="108" w:type="dxa"/>
              <w:bottom w:w="0" w:type="dxa"/>
              <w:right w:w="108" w:type="dxa"/>
            </w:tcMar>
          </w:tcPr>
          <w:p w:rsidR="00566453" w:rsidRDefault="00786D09">
            <w:pPr>
              <w:rPr>
                <w:rFonts w:ascii="Arial" w:eastAsia="Arial" w:hAnsi="Arial" w:cs="Arial"/>
              </w:rPr>
            </w:pPr>
            <w:r>
              <w:rPr>
                <w:rFonts w:ascii="Arial" w:eastAsia="Arial" w:hAnsi="Arial" w:cs="Arial"/>
                <w:b/>
              </w:rPr>
              <w:t xml:space="preserve">START </w:t>
            </w:r>
            <w:r>
              <w:rPr>
                <w:rFonts w:ascii="Arial" w:eastAsia="Arial" w:hAnsi="Arial" w:cs="Arial"/>
              </w:rPr>
              <w:t>Layby, 650m south of A417 Junction on Gloucester Road</w:t>
            </w:r>
          </w:p>
        </w:tc>
        <w:tc>
          <w:tcPr>
            <w:tcW w:w="1800" w:type="dxa"/>
            <w:shd w:val="clear" w:color="auto" w:fill="auto"/>
            <w:tcMar>
              <w:top w:w="0" w:type="dxa"/>
              <w:left w:w="108" w:type="dxa"/>
              <w:bottom w:w="0" w:type="dxa"/>
              <w:right w:w="108" w:type="dxa"/>
            </w:tcMar>
          </w:tcPr>
          <w:p w:rsidR="00566453" w:rsidRDefault="00786D09">
            <w:r>
              <w:t>Traffic passing riders waiting to start</w:t>
            </w:r>
          </w:p>
        </w:tc>
        <w:tc>
          <w:tcPr>
            <w:tcW w:w="1530" w:type="dxa"/>
            <w:shd w:val="clear" w:color="auto" w:fill="auto"/>
            <w:tcMar>
              <w:top w:w="0" w:type="dxa"/>
              <w:left w:w="108" w:type="dxa"/>
              <w:bottom w:w="0" w:type="dxa"/>
              <w:right w:w="108" w:type="dxa"/>
            </w:tcMar>
          </w:tcPr>
          <w:p w:rsidR="00566453" w:rsidRDefault="00786D09">
            <w:r>
              <w:t>LOW</w:t>
            </w:r>
          </w:p>
        </w:tc>
        <w:tc>
          <w:tcPr>
            <w:tcW w:w="3525" w:type="dxa"/>
            <w:shd w:val="clear" w:color="auto" w:fill="auto"/>
            <w:tcMar>
              <w:top w:w="0" w:type="dxa"/>
              <w:left w:w="108" w:type="dxa"/>
              <w:bottom w:w="0" w:type="dxa"/>
              <w:right w:w="108" w:type="dxa"/>
            </w:tcMar>
          </w:tcPr>
          <w:p w:rsidR="00566453" w:rsidRDefault="00786D09">
            <w:r>
              <w:rPr>
                <w:b/>
                <w:color w:val="FF0000"/>
              </w:rPr>
              <w:t>Sign</w:t>
            </w:r>
            <w:r>
              <w:t xml:space="preserve"> at side of road 100m before start to inform vehicles of cycling event</w:t>
            </w:r>
          </w:p>
          <w:p w:rsidR="00566453" w:rsidRDefault="00566453"/>
          <w:p w:rsidR="00566453" w:rsidRDefault="00786D09">
            <w:pPr>
              <w:rPr>
                <w:b/>
                <w:color w:val="FF0000"/>
              </w:rPr>
            </w:pPr>
            <w:r>
              <w:t xml:space="preserve">Officials to wear </w:t>
            </w:r>
            <w:r>
              <w:rPr>
                <w:b/>
                <w:color w:val="FF0000"/>
              </w:rPr>
              <w:t>high visibility jackets / bibs</w:t>
            </w:r>
          </w:p>
          <w:p w:rsidR="00566453" w:rsidRDefault="00566453">
            <w:pPr>
              <w:rPr>
                <w:b/>
                <w:color w:val="FF0000"/>
              </w:rPr>
            </w:pPr>
          </w:p>
          <w:p w:rsidR="00566453" w:rsidRDefault="00566453">
            <w:pPr>
              <w:rPr>
                <w:b/>
                <w:color w:val="FF0000"/>
              </w:rPr>
            </w:pPr>
          </w:p>
        </w:tc>
      </w:tr>
      <w:tr w:rsidR="00566453">
        <w:trPr>
          <w:trHeight w:val="1060"/>
        </w:trPr>
        <w:tc>
          <w:tcPr>
            <w:tcW w:w="1110" w:type="dxa"/>
            <w:shd w:val="clear" w:color="auto" w:fill="auto"/>
            <w:tcMar>
              <w:top w:w="0" w:type="dxa"/>
              <w:left w:w="108" w:type="dxa"/>
              <w:bottom w:w="0" w:type="dxa"/>
              <w:right w:w="108" w:type="dxa"/>
            </w:tcMar>
          </w:tcPr>
          <w:p w:rsidR="00566453" w:rsidRDefault="00786D09">
            <w:r>
              <w:t>0 miles</w:t>
            </w:r>
          </w:p>
        </w:tc>
        <w:tc>
          <w:tcPr>
            <w:tcW w:w="2370" w:type="dxa"/>
            <w:shd w:val="clear" w:color="auto" w:fill="auto"/>
            <w:tcMar>
              <w:top w:w="0" w:type="dxa"/>
              <w:left w:w="108" w:type="dxa"/>
              <w:bottom w:w="0" w:type="dxa"/>
              <w:right w:w="108" w:type="dxa"/>
            </w:tcMar>
          </w:tcPr>
          <w:p w:rsidR="00566453" w:rsidRDefault="00786D09">
            <w:pPr>
              <w:rPr>
                <w:rFonts w:ascii="Arial" w:eastAsia="Arial" w:hAnsi="Arial" w:cs="Arial"/>
              </w:rPr>
            </w:pPr>
            <w:r>
              <w:rPr>
                <w:rFonts w:ascii="Arial" w:eastAsia="Arial" w:hAnsi="Arial" w:cs="Arial"/>
                <w:b/>
              </w:rPr>
              <w:t xml:space="preserve">START: </w:t>
            </w:r>
            <w:r>
              <w:rPr>
                <w:rFonts w:ascii="Arial" w:eastAsia="Arial" w:hAnsi="Arial" w:cs="Arial"/>
              </w:rPr>
              <w:t>Layby, 650m south of A417 Junction on Gloucester Road</w:t>
            </w:r>
          </w:p>
        </w:tc>
        <w:tc>
          <w:tcPr>
            <w:tcW w:w="1800" w:type="dxa"/>
            <w:shd w:val="clear" w:color="auto" w:fill="auto"/>
            <w:tcMar>
              <w:top w:w="0" w:type="dxa"/>
              <w:left w:w="108" w:type="dxa"/>
              <w:bottom w:w="0" w:type="dxa"/>
              <w:right w:w="108" w:type="dxa"/>
            </w:tcMar>
          </w:tcPr>
          <w:p w:rsidR="00566453" w:rsidRDefault="00786D09">
            <w:r>
              <w:t>Traffic passing riders waiting to start</w:t>
            </w:r>
          </w:p>
        </w:tc>
        <w:tc>
          <w:tcPr>
            <w:tcW w:w="1530" w:type="dxa"/>
            <w:shd w:val="clear" w:color="auto" w:fill="auto"/>
            <w:tcMar>
              <w:top w:w="0" w:type="dxa"/>
              <w:left w:w="108" w:type="dxa"/>
              <w:bottom w:w="0" w:type="dxa"/>
              <w:right w:w="108" w:type="dxa"/>
            </w:tcMar>
          </w:tcPr>
          <w:p w:rsidR="00566453" w:rsidRDefault="00786D09">
            <w:r>
              <w:t>LOW</w:t>
            </w:r>
          </w:p>
        </w:tc>
        <w:tc>
          <w:tcPr>
            <w:tcW w:w="3525" w:type="dxa"/>
            <w:shd w:val="clear" w:color="auto" w:fill="auto"/>
            <w:tcMar>
              <w:top w:w="0" w:type="dxa"/>
              <w:left w:w="108" w:type="dxa"/>
              <w:bottom w:w="0" w:type="dxa"/>
              <w:right w:w="108" w:type="dxa"/>
            </w:tcMar>
          </w:tcPr>
          <w:p w:rsidR="00566453" w:rsidRDefault="00786D09">
            <w:r>
              <w:t xml:space="preserve">Riders to wear </w:t>
            </w:r>
            <w:r>
              <w:rPr>
                <w:b/>
                <w:color w:val="FF0000"/>
              </w:rPr>
              <w:t>fluorescent numbers</w:t>
            </w:r>
            <w:r>
              <w:rPr>
                <w:color w:val="FF0000"/>
              </w:rPr>
              <w:t xml:space="preserve"> </w:t>
            </w:r>
            <w:r>
              <w:t>on their backs to attract attention.</w:t>
            </w:r>
          </w:p>
          <w:p w:rsidR="00566453" w:rsidRDefault="00566453"/>
          <w:p w:rsidR="00566453" w:rsidRDefault="00786D09">
            <w:r>
              <w:rPr>
                <w:b/>
                <w:color w:val="FF0000"/>
              </w:rPr>
              <w:t>Rider attention raised to traffic</w:t>
            </w:r>
            <w:r>
              <w:rPr>
                <w:color w:val="FF0000"/>
              </w:rPr>
              <w:t xml:space="preserve"> </w:t>
            </w:r>
            <w:r>
              <w:t>movement at time of their start.</w:t>
            </w:r>
          </w:p>
        </w:tc>
      </w:tr>
      <w:tr w:rsidR="00566453">
        <w:tc>
          <w:tcPr>
            <w:tcW w:w="1110" w:type="dxa"/>
            <w:shd w:val="clear" w:color="auto" w:fill="auto"/>
            <w:tcMar>
              <w:top w:w="0" w:type="dxa"/>
              <w:left w:w="108" w:type="dxa"/>
              <w:bottom w:w="0" w:type="dxa"/>
              <w:right w:w="108" w:type="dxa"/>
            </w:tcMar>
          </w:tcPr>
          <w:p w:rsidR="00566453" w:rsidRDefault="00786D09">
            <w:r>
              <w:t>1.4 miles</w:t>
            </w:r>
          </w:p>
        </w:tc>
        <w:tc>
          <w:tcPr>
            <w:tcW w:w="2370" w:type="dxa"/>
            <w:shd w:val="clear" w:color="auto" w:fill="auto"/>
            <w:tcMar>
              <w:top w:w="0" w:type="dxa"/>
              <w:left w:w="108" w:type="dxa"/>
              <w:bottom w:w="0" w:type="dxa"/>
              <w:right w:w="108" w:type="dxa"/>
            </w:tcMar>
          </w:tcPr>
          <w:p w:rsidR="00566453" w:rsidRDefault="00786D09">
            <w:pPr>
              <w:rPr>
                <w:rFonts w:ascii="Arial" w:eastAsia="Arial" w:hAnsi="Arial" w:cs="Arial"/>
              </w:rPr>
            </w:pPr>
            <w:r>
              <w:rPr>
                <w:rFonts w:ascii="Arial" w:eastAsia="Arial" w:hAnsi="Arial" w:cs="Arial"/>
                <w:b/>
              </w:rPr>
              <w:t xml:space="preserve">LEFT TURN: </w:t>
            </w:r>
            <w:r>
              <w:rPr>
                <w:rFonts w:ascii="Arial" w:eastAsia="Arial" w:hAnsi="Arial" w:cs="Arial"/>
              </w:rPr>
              <w:t>onto A435</w:t>
            </w:r>
          </w:p>
        </w:tc>
        <w:tc>
          <w:tcPr>
            <w:tcW w:w="1800" w:type="dxa"/>
            <w:shd w:val="clear" w:color="auto" w:fill="auto"/>
            <w:tcMar>
              <w:top w:w="0" w:type="dxa"/>
              <w:left w:w="108" w:type="dxa"/>
              <w:bottom w:w="0" w:type="dxa"/>
              <w:right w:w="108" w:type="dxa"/>
            </w:tcMar>
          </w:tcPr>
          <w:p w:rsidR="00566453" w:rsidRDefault="00786D09">
            <w:r>
              <w:t>Traffic approaching from south on A435, vehicles parked on kerb</w:t>
            </w:r>
          </w:p>
        </w:tc>
        <w:tc>
          <w:tcPr>
            <w:tcW w:w="1530" w:type="dxa"/>
            <w:shd w:val="clear" w:color="auto" w:fill="auto"/>
            <w:tcMar>
              <w:top w:w="0" w:type="dxa"/>
              <w:left w:w="108" w:type="dxa"/>
              <w:bottom w:w="0" w:type="dxa"/>
              <w:right w:w="108" w:type="dxa"/>
            </w:tcMar>
          </w:tcPr>
          <w:p w:rsidR="00566453" w:rsidRDefault="00786D09">
            <w:r>
              <w:t>MEDIUM</w:t>
            </w:r>
          </w:p>
        </w:tc>
        <w:tc>
          <w:tcPr>
            <w:tcW w:w="3525" w:type="dxa"/>
            <w:shd w:val="clear" w:color="auto" w:fill="auto"/>
            <w:tcMar>
              <w:top w:w="0" w:type="dxa"/>
              <w:left w:w="108" w:type="dxa"/>
              <w:bottom w:w="0" w:type="dxa"/>
              <w:right w:w="108" w:type="dxa"/>
            </w:tcMar>
          </w:tcPr>
          <w:p w:rsidR="00566453" w:rsidRDefault="00786D09">
            <w:r>
              <w:rPr>
                <w:b/>
                <w:color w:val="FF0000"/>
              </w:rPr>
              <w:t>Sign</w:t>
            </w:r>
            <w:r>
              <w:t xml:space="preserve"> 100m south of junction on A435 to inform vehicles of cycling event</w:t>
            </w:r>
          </w:p>
          <w:p w:rsidR="00566453" w:rsidRDefault="00566453"/>
          <w:p w:rsidR="00566453" w:rsidRDefault="00786D09">
            <w:r>
              <w:rPr>
                <w:b/>
                <w:color w:val="FF0000"/>
              </w:rPr>
              <w:t>1* Marshalls</w:t>
            </w:r>
            <w:r>
              <w:rPr>
                <w:color w:val="FF0000"/>
              </w:rPr>
              <w:t xml:space="preserve"> </w:t>
            </w:r>
            <w:r>
              <w:t>to raise rider attention to traffic movements</w:t>
            </w:r>
          </w:p>
          <w:p w:rsidR="00566453" w:rsidRDefault="00566453"/>
          <w:p w:rsidR="00566453" w:rsidRDefault="00786D09">
            <w:r>
              <w:lastRenderedPageBreak/>
              <w:t>Information for riders at sign on.</w:t>
            </w:r>
          </w:p>
        </w:tc>
      </w:tr>
      <w:tr w:rsidR="00566453">
        <w:tc>
          <w:tcPr>
            <w:tcW w:w="1110" w:type="dxa"/>
            <w:shd w:val="clear" w:color="auto" w:fill="auto"/>
            <w:tcMar>
              <w:top w:w="0" w:type="dxa"/>
              <w:left w:w="108" w:type="dxa"/>
              <w:bottom w:w="0" w:type="dxa"/>
              <w:right w:w="108" w:type="dxa"/>
            </w:tcMar>
          </w:tcPr>
          <w:p w:rsidR="00566453" w:rsidRDefault="00786D09">
            <w:r>
              <w:lastRenderedPageBreak/>
              <w:t>12.5 miles</w:t>
            </w:r>
          </w:p>
        </w:tc>
        <w:tc>
          <w:tcPr>
            <w:tcW w:w="2370" w:type="dxa"/>
            <w:shd w:val="clear" w:color="auto" w:fill="auto"/>
            <w:tcMar>
              <w:top w:w="0" w:type="dxa"/>
              <w:left w:w="108" w:type="dxa"/>
              <w:bottom w:w="0" w:type="dxa"/>
              <w:right w:w="108" w:type="dxa"/>
            </w:tcMar>
          </w:tcPr>
          <w:p w:rsidR="00566453" w:rsidRDefault="00786D09">
            <w:pPr>
              <w:rPr>
                <w:rFonts w:ascii="Arial" w:eastAsia="Arial" w:hAnsi="Arial" w:cs="Arial"/>
                <w:b/>
              </w:rPr>
            </w:pPr>
            <w:r>
              <w:rPr>
                <w:rFonts w:ascii="Arial" w:eastAsia="Arial" w:hAnsi="Arial" w:cs="Arial"/>
                <w:b/>
              </w:rPr>
              <w:t xml:space="preserve">U-TURN AT SEVERN SPRINGS SOUTHERLY ROUNDABOUT   </w:t>
            </w:r>
          </w:p>
        </w:tc>
        <w:tc>
          <w:tcPr>
            <w:tcW w:w="1800" w:type="dxa"/>
            <w:shd w:val="clear" w:color="auto" w:fill="auto"/>
            <w:tcMar>
              <w:top w:w="0" w:type="dxa"/>
              <w:left w:w="108" w:type="dxa"/>
              <w:bottom w:w="0" w:type="dxa"/>
              <w:right w:w="108" w:type="dxa"/>
            </w:tcMar>
          </w:tcPr>
          <w:p w:rsidR="00566453" w:rsidRDefault="00786D09">
            <w:r>
              <w:t xml:space="preserve">Traffic approaching </w:t>
            </w:r>
            <w:proofErr w:type="gramStart"/>
            <w:r>
              <w:t>Southerly  RAB</w:t>
            </w:r>
            <w:proofErr w:type="gramEnd"/>
            <w:r>
              <w:t xml:space="preserve"> from west &amp; traffic approaching second RAB 50m to the North </w:t>
            </w:r>
          </w:p>
        </w:tc>
        <w:tc>
          <w:tcPr>
            <w:tcW w:w="1530" w:type="dxa"/>
            <w:shd w:val="clear" w:color="auto" w:fill="auto"/>
            <w:tcMar>
              <w:top w:w="0" w:type="dxa"/>
              <w:left w:w="108" w:type="dxa"/>
              <w:bottom w:w="0" w:type="dxa"/>
              <w:right w:w="108" w:type="dxa"/>
            </w:tcMar>
          </w:tcPr>
          <w:p w:rsidR="00566453" w:rsidRDefault="00786D09">
            <w:r>
              <w:t>MEDIUM</w:t>
            </w:r>
          </w:p>
        </w:tc>
        <w:tc>
          <w:tcPr>
            <w:tcW w:w="3525" w:type="dxa"/>
            <w:shd w:val="clear" w:color="auto" w:fill="auto"/>
            <w:tcMar>
              <w:top w:w="0" w:type="dxa"/>
              <w:left w:w="108" w:type="dxa"/>
              <w:bottom w:w="0" w:type="dxa"/>
              <w:right w:w="108" w:type="dxa"/>
            </w:tcMar>
          </w:tcPr>
          <w:p w:rsidR="00566453" w:rsidRDefault="00786D09">
            <w:r>
              <w:rPr>
                <w:b/>
                <w:color w:val="FF0000"/>
              </w:rPr>
              <w:t>Signs</w:t>
            </w:r>
            <w:r>
              <w:t xml:space="preserve"> </w:t>
            </w:r>
          </w:p>
          <w:p w:rsidR="00566453" w:rsidRDefault="00786D09">
            <w:pPr>
              <w:ind w:left="720" w:hanging="360"/>
            </w:pPr>
            <w:r>
              <w:rPr>
                <w:rFonts w:ascii="Arial Unicode MS" w:eastAsia="Arial Unicode MS" w:hAnsi="Arial Unicode MS" w:cs="Arial Unicode MS"/>
              </w:rPr>
              <w:t>∙</w:t>
            </w:r>
            <w:r>
              <w:rPr>
                <w:rFonts w:ascii="Arial Unicode MS" w:eastAsia="Arial Unicode MS" w:hAnsi="Arial Unicode MS" w:cs="Arial Unicode MS"/>
              </w:rPr>
              <w:tab/>
            </w:r>
            <w:r>
              <w:t>100m west of Southerly RAB on A436</w:t>
            </w:r>
          </w:p>
          <w:p w:rsidR="00566453" w:rsidRDefault="00786D09">
            <w:pPr>
              <w:ind w:left="720" w:hanging="360"/>
            </w:pPr>
            <w:r>
              <w:rPr>
                <w:rFonts w:ascii="Arial Unicode MS" w:eastAsia="Arial Unicode MS" w:hAnsi="Arial Unicode MS" w:cs="Arial Unicode MS"/>
              </w:rPr>
              <w:t>∙</w:t>
            </w:r>
            <w:r>
              <w:rPr>
                <w:rFonts w:ascii="Arial Unicode MS" w:eastAsia="Arial Unicode MS" w:hAnsi="Arial Unicode MS" w:cs="Arial Unicode MS"/>
              </w:rPr>
              <w:tab/>
            </w:r>
            <w:r>
              <w:t>25m North of Southerly RAB (halfway to Northerly RAB)</w:t>
            </w:r>
          </w:p>
          <w:p w:rsidR="00566453" w:rsidRDefault="00786D09">
            <w:pPr>
              <w:ind w:left="720" w:hanging="360"/>
            </w:pPr>
            <w:r>
              <w:rPr>
                <w:rFonts w:ascii="Arial Unicode MS" w:eastAsia="Arial Unicode MS" w:hAnsi="Arial Unicode MS" w:cs="Arial Unicode MS"/>
              </w:rPr>
              <w:t>∙</w:t>
            </w:r>
            <w:r>
              <w:rPr>
                <w:rFonts w:ascii="Arial Unicode MS" w:eastAsia="Arial Unicode MS" w:hAnsi="Arial Unicode MS" w:cs="Arial Unicode MS"/>
              </w:rPr>
              <w:tab/>
            </w:r>
            <w:r>
              <w:t xml:space="preserve">100m East of </w:t>
            </w:r>
            <w:proofErr w:type="gramStart"/>
            <w:r>
              <w:t>northerly  RAB</w:t>
            </w:r>
            <w:proofErr w:type="gramEnd"/>
            <w:r>
              <w:t xml:space="preserve"> on A436</w:t>
            </w:r>
          </w:p>
          <w:p w:rsidR="00566453" w:rsidRDefault="00786D09">
            <w:pPr>
              <w:ind w:left="720" w:hanging="360"/>
            </w:pPr>
            <w:r>
              <w:rPr>
                <w:rFonts w:ascii="Arial Unicode MS" w:eastAsia="Arial Unicode MS" w:hAnsi="Arial Unicode MS" w:cs="Arial Unicode MS"/>
              </w:rPr>
              <w:t>∙</w:t>
            </w:r>
            <w:r>
              <w:rPr>
                <w:rFonts w:ascii="Arial Unicode MS" w:eastAsia="Arial Unicode MS" w:hAnsi="Arial Unicode MS" w:cs="Arial Unicode MS"/>
              </w:rPr>
              <w:tab/>
            </w:r>
            <w:r>
              <w:t xml:space="preserve">100m North of </w:t>
            </w:r>
            <w:proofErr w:type="gramStart"/>
            <w:r>
              <w:t>northerly  RAB</w:t>
            </w:r>
            <w:proofErr w:type="gramEnd"/>
            <w:r>
              <w:t xml:space="preserve"> on A435</w:t>
            </w:r>
          </w:p>
          <w:p w:rsidR="00566453" w:rsidRDefault="00566453"/>
          <w:p w:rsidR="00566453" w:rsidRDefault="00786D09">
            <w:r>
              <w:rPr>
                <w:b/>
                <w:color w:val="FF0000"/>
              </w:rPr>
              <w:t>3* Marshall</w:t>
            </w:r>
            <w:r>
              <w:rPr>
                <w:color w:val="FF0000"/>
              </w:rPr>
              <w:t xml:space="preserve"> on Southerly RAB </w:t>
            </w:r>
            <w:r>
              <w:t xml:space="preserve">to raise attention </w:t>
            </w:r>
          </w:p>
        </w:tc>
      </w:tr>
      <w:tr w:rsidR="00566453">
        <w:tc>
          <w:tcPr>
            <w:tcW w:w="1110" w:type="dxa"/>
            <w:shd w:val="clear" w:color="auto" w:fill="auto"/>
            <w:tcMar>
              <w:top w:w="0" w:type="dxa"/>
              <w:left w:w="108" w:type="dxa"/>
              <w:bottom w:w="0" w:type="dxa"/>
              <w:right w:w="108" w:type="dxa"/>
            </w:tcMar>
          </w:tcPr>
          <w:p w:rsidR="00566453" w:rsidRDefault="00786D09">
            <w:r>
              <w:t>21.4 miles</w:t>
            </w:r>
          </w:p>
        </w:tc>
        <w:tc>
          <w:tcPr>
            <w:tcW w:w="2370" w:type="dxa"/>
            <w:shd w:val="clear" w:color="auto" w:fill="auto"/>
            <w:tcMar>
              <w:top w:w="0" w:type="dxa"/>
              <w:left w:w="108" w:type="dxa"/>
              <w:bottom w:w="0" w:type="dxa"/>
              <w:right w:w="108" w:type="dxa"/>
            </w:tcMar>
          </w:tcPr>
          <w:p w:rsidR="00566453" w:rsidRDefault="00786D09">
            <w:pPr>
              <w:rPr>
                <w:rFonts w:ascii="Arial" w:eastAsia="Arial" w:hAnsi="Arial" w:cs="Arial"/>
              </w:rPr>
            </w:pPr>
            <w:r>
              <w:rPr>
                <w:rFonts w:ascii="Arial" w:eastAsia="Arial" w:hAnsi="Arial" w:cs="Arial"/>
                <w:b/>
              </w:rPr>
              <w:t xml:space="preserve">LEFT TURN: </w:t>
            </w:r>
            <w:r>
              <w:rPr>
                <w:rFonts w:ascii="Arial" w:eastAsia="Arial" w:hAnsi="Arial" w:cs="Arial"/>
              </w:rPr>
              <w:t>on to Welsh Way</w:t>
            </w:r>
          </w:p>
        </w:tc>
        <w:tc>
          <w:tcPr>
            <w:tcW w:w="1800" w:type="dxa"/>
            <w:shd w:val="clear" w:color="auto" w:fill="auto"/>
            <w:tcMar>
              <w:top w:w="0" w:type="dxa"/>
              <w:left w:w="108" w:type="dxa"/>
              <w:bottom w:w="0" w:type="dxa"/>
              <w:right w:w="108" w:type="dxa"/>
            </w:tcMar>
          </w:tcPr>
          <w:p w:rsidR="00566453" w:rsidRDefault="00786D09">
            <w:r>
              <w:t>Traffic emerging from Welsh Way</w:t>
            </w:r>
          </w:p>
          <w:p w:rsidR="00566453" w:rsidRDefault="00786D09">
            <w:r>
              <w:t>Narrow road may necessitate stopping for approaching traffic</w:t>
            </w:r>
          </w:p>
          <w:p w:rsidR="00566453" w:rsidRDefault="00566453"/>
        </w:tc>
        <w:tc>
          <w:tcPr>
            <w:tcW w:w="1530" w:type="dxa"/>
            <w:shd w:val="clear" w:color="auto" w:fill="auto"/>
            <w:tcMar>
              <w:top w:w="0" w:type="dxa"/>
              <w:left w:w="108" w:type="dxa"/>
              <w:bottom w:w="0" w:type="dxa"/>
              <w:right w:w="108" w:type="dxa"/>
            </w:tcMar>
          </w:tcPr>
          <w:p w:rsidR="00566453" w:rsidRDefault="00786D09">
            <w:r>
              <w:t>Medium</w:t>
            </w:r>
          </w:p>
        </w:tc>
        <w:tc>
          <w:tcPr>
            <w:tcW w:w="3525" w:type="dxa"/>
            <w:shd w:val="clear" w:color="auto" w:fill="auto"/>
            <w:tcMar>
              <w:top w:w="0" w:type="dxa"/>
              <w:left w:w="108" w:type="dxa"/>
              <w:bottom w:w="0" w:type="dxa"/>
              <w:right w:w="108" w:type="dxa"/>
            </w:tcMar>
          </w:tcPr>
          <w:p w:rsidR="00566453" w:rsidRDefault="00786D09">
            <w:r>
              <w:rPr>
                <w:b/>
                <w:color w:val="FF0000"/>
              </w:rPr>
              <w:t>Sign</w:t>
            </w:r>
            <w:r>
              <w:t xml:space="preserve"> 100m East of Junction on A435 to inform vehicles of cycling event</w:t>
            </w:r>
          </w:p>
          <w:p w:rsidR="00566453" w:rsidRDefault="00566453"/>
          <w:p w:rsidR="00566453" w:rsidRDefault="00566453"/>
        </w:tc>
      </w:tr>
      <w:tr w:rsidR="00566453">
        <w:tc>
          <w:tcPr>
            <w:tcW w:w="1110" w:type="dxa"/>
            <w:shd w:val="clear" w:color="auto" w:fill="auto"/>
            <w:tcMar>
              <w:top w:w="0" w:type="dxa"/>
              <w:left w:w="108" w:type="dxa"/>
              <w:bottom w:w="0" w:type="dxa"/>
              <w:right w:w="108" w:type="dxa"/>
            </w:tcMar>
          </w:tcPr>
          <w:p w:rsidR="00566453" w:rsidRDefault="00786D09">
            <w:proofErr w:type="gramStart"/>
            <w:r>
              <w:t>22.7  miles</w:t>
            </w:r>
            <w:proofErr w:type="gramEnd"/>
          </w:p>
        </w:tc>
        <w:tc>
          <w:tcPr>
            <w:tcW w:w="2370" w:type="dxa"/>
            <w:shd w:val="clear" w:color="auto" w:fill="auto"/>
            <w:tcMar>
              <w:top w:w="0" w:type="dxa"/>
              <w:left w:w="108" w:type="dxa"/>
              <w:bottom w:w="0" w:type="dxa"/>
              <w:right w:w="108" w:type="dxa"/>
            </w:tcMar>
          </w:tcPr>
          <w:p w:rsidR="00566453" w:rsidRDefault="00786D09">
            <w:pPr>
              <w:rPr>
                <w:rFonts w:ascii="Arial" w:eastAsia="Arial" w:hAnsi="Arial" w:cs="Arial"/>
              </w:rPr>
            </w:pPr>
            <w:r>
              <w:rPr>
                <w:rFonts w:ascii="Arial" w:eastAsia="Arial" w:hAnsi="Arial" w:cs="Arial"/>
                <w:b/>
              </w:rPr>
              <w:t xml:space="preserve">FINISH: </w:t>
            </w:r>
            <w:r>
              <w:rPr>
                <w:rFonts w:ascii="Arial" w:eastAsia="Arial" w:hAnsi="Arial" w:cs="Arial"/>
              </w:rPr>
              <w:t>by field entrance 0.2 miles before junction with White Way</w:t>
            </w:r>
          </w:p>
        </w:tc>
        <w:tc>
          <w:tcPr>
            <w:tcW w:w="1800" w:type="dxa"/>
            <w:shd w:val="clear" w:color="auto" w:fill="auto"/>
            <w:tcMar>
              <w:top w:w="0" w:type="dxa"/>
              <w:left w:w="108" w:type="dxa"/>
              <w:bottom w:w="0" w:type="dxa"/>
              <w:right w:w="108" w:type="dxa"/>
            </w:tcMar>
          </w:tcPr>
          <w:p w:rsidR="00566453" w:rsidRDefault="00786D09">
            <w:r>
              <w:t>Traffic approaching from East</w:t>
            </w:r>
          </w:p>
        </w:tc>
        <w:tc>
          <w:tcPr>
            <w:tcW w:w="1530" w:type="dxa"/>
            <w:shd w:val="clear" w:color="auto" w:fill="auto"/>
            <w:tcMar>
              <w:top w:w="0" w:type="dxa"/>
              <w:left w:w="108" w:type="dxa"/>
              <w:bottom w:w="0" w:type="dxa"/>
              <w:right w:w="108" w:type="dxa"/>
            </w:tcMar>
          </w:tcPr>
          <w:p w:rsidR="00566453" w:rsidRDefault="00786D09">
            <w:r>
              <w:t>Low</w:t>
            </w:r>
          </w:p>
        </w:tc>
        <w:tc>
          <w:tcPr>
            <w:tcW w:w="3525" w:type="dxa"/>
            <w:shd w:val="clear" w:color="auto" w:fill="auto"/>
            <w:tcMar>
              <w:top w:w="0" w:type="dxa"/>
              <w:left w:w="108" w:type="dxa"/>
              <w:bottom w:w="0" w:type="dxa"/>
              <w:right w:w="108" w:type="dxa"/>
            </w:tcMar>
          </w:tcPr>
          <w:p w:rsidR="00566453" w:rsidRDefault="00786D09">
            <w:r>
              <w:rPr>
                <w:b/>
                <w:color w:val="FF0000"/>
              </w:rPr>
              <w:t>Sign</w:t>
            </w:r>
            <w:r>
              <w:t xml:space="preserve"> 100m before junction on unclassified road to inform vehicles of cycling event</w:t>
            </w:r>
          </w:p>
          <w:p w:rsidR="00566453" w:rsidRDefault="00566453"/>
        </w:tc>
      </w:tr>
    </w:tbl>
    <w:p w:rsidR="00566453" w:rsidRDefault="00566453">
      <w:pPr>
        <w:widowControl w:val="0"/>
        <w:ind w:left="360" w:right="360" w:firstLine="809"/>
        <w:rPr>
          <w:rFonts w:ascii="Times New Roman" w:eastAsia="Times New Roman" w:hAnsi="Times New Roman" w:cs="Times New Roman"/>
          <w:sz w:val="24"/>
          <w:szCs w:val="24"/>
        </w:rPr>
      </w:pPr>
    </w:p>
    <w:p w:rsidR="00566453" w:rsidRDefault="00566453">
      <w:pPr>
        <w:rPr>
          <w:rFonts w:ascii="Times New Roman" w:eastAsia="Times New Roman" w:hAnsi="Times New Roman" w:cs="Times New Roman"/>
          <w:sz w:val="24"/>
          <w:szCs w:val="24"/>
        </w:rPr>
      </w:pPr>
    </w:p>
    <w:tbl>
      <w:tblPr>
        <w:tblStyle w:val="a3"/>
        <w:tblW w:w="10476"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6"/>
      </w:tblGrid>
      <w:tr w:rsidR="00566453">
        <w:trPr>
          <w:trHeight w:val="1140"/>
        </w:trPr>
        <w:tc>
          <w:tcPr>
            <w:tcW w:w="10476" w:type="dxa"/>
          </w:tcPr>
          <w:p w:rsidR="00566453" w:rsidRDefault="00566453">
            <w:pPr>
              <w:jc w:val="both"/>
              <w:rPr>
                <w:rFonts w:ascii="Arial" w:eastAsia="Arial" w:hAnsi="Arial" w:cs="Arial"/>
                <w:sz w:val="16"/>
                <w:szCs w:val="16"/>
              </w:rPr>
            </w:pPr>
          </w:p>
          <w:p w:rsidR="00566453" w:rsidRDefault="00786D09">
            <w:pPr>
              <w:spacing w:before="120" w:after="120"/>
              <w:jc w:val="both"/>
            </w:pPr>
            <w:r>
              <w:rPr>
                <w:rFonts w:ascii="Arial" w:eastAsia="Arial" w:hAnsi="Arial" w:cs="Arial"/>
                <w:b/>
                <w:sz w:val="16"/>
                <w:szCs w:val="16"/>
              </w:rPr>
              <w:t>Notes</w:t>
            </w:r>
          </w:p>
          <w:p w:rsidR="00566453" w:rsidRDefault="00786D09">
            <w:pPr>
              <w:numPr>
                <w:ilvl w:val="0"/>
                <w:numId w:val="1"/>
              </w:numPr>
              <w:spacing w:before="120"/>
              <w:ind w:left="60" w:hanging="7"/>
              <w:jc w:val="both"/>
            </w:pPr>
            <w:r>
              <w:rPr>
                <w:rFonts w:ascii="Arial" w:eastAsia="Arial" w:hAnsi="Arial" w:cs="Arial"/>
                <w:sz w:val="16"/>
                <w:szCs w:val="16"/>
              </w:rPr>
              <w:t xml:space="preserve">The use of a vehicle for the timekeeper(s) at start and finish is where appropriate and is only identified as an example for the action to be taken </w:t>
            </w:r>
          </w:p>
          <w:p w:rsidR="00566453" w:rsidRDefault="00786D09">
            <w:pPr>
              <w:numPr>
                <w:ilvl w:val="0"/>
                <w:numId w:val="1"/>
              </w:numPr>
              <w:spacing w:after="120"/>
              <w:ind w:left="60" w:hanging="7"/>
              <w:jc w:val="both"/>
            </w:pPr>
            <w:r>
              <w:rPr>
                <w:rFonts w:ascii="Arial" w:eastAsia="Arial" w:hAnsi="Arial" w:cs="Arial"/>
                <w:sz w:val="16"/>
                <w:szCs w:val="16"/>
              </w:rPr>
              <w:t>The small junctions or entrances to farms/ facilities (</w:t>
            </w:r>
            <w:proofErr w:type="spellStart"/>
            <w:r>
              <w:rPr>
                <w:rFonts w:ascii="Arial" w:eastAsia="Arial" w:hAnsi="Arial" w:cs="Arial"/>
                <w:sz w:val="16"/>
                <w:szCs w:val="16"/>
              </w:rPr>
              <w:t>garage</w:t>
            </w:r>
            <w:proofErr w:type="gramStart"/>
            <w:r>
              <w:rPr>
                <w:rFonts w:ascii="Arial" w:eastAsia="Arial" w:hAnsi="Arial" w:cs="Arial"/>
                <w:sz w:val="16"/>
                <w:szCs w:val="16"/>
              </w:rPr>
              <w:t>,.</w:t>
            </w:r>
            <w:proofErr w:type="gramEnd"/>
            <w:r>
              <w:rPr>
                <w:rFonts w:ascii="Arial" w:eastAsia="Arial" w:hAnsi="Arial" w:cs="Arial"/>
                <w:sz w:val="16"/>
                <w:szCs w:val="16"/>
              </w:rPr>
              <w:t>eatery</w:t>
            </w:r>
            <w:proofErr w:type="spellEnd"/>
            <w:r>
              <w:rPr>
                <w:rFonts w:ascii="Arial" w:eastAsia="Arial" w:hAnsi="Arial" w:cs="Arial"/>
                <w:sz w:val="16"/>
                <w:szCs w:val="16"/>
              </w:rPr>
              <w:t xml:space="preserve">, etc) that are not identified in this risk assessment have been considered, however are not considered significant to pose a risk and therefore have not been noted. </w:t>
            </w:r>
          </w:p>
        </w:tc>
      </w:tr>
    </w:tbl>
    <w:p w:rsidR="00566453" w:rsidRDefault="00566453">
      <w:pPr>
        <w:rPr>
          <w:rFonts w:ascii="Times New Roman" w:eastAsia="Times New Roman" w:hAnsi="Times New Roman" w:cs="Times New Roman"/>
          <w:sz w:val="24"/>
          <w:szCs w:val="24"/>
        </w:rPr>
      </w:pPr>
    </w:p>
    <w:p w:rsidR="00566453" w:rsidRDefault="00566453">
      <w:pPr>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566453">
      <w:pPr>
        <w:ind w:left="360" w:right="360" w:firstLine="809"/>
        <w:rPr>
          <w:rFonts w:ascii="Times New Roman" w:eastAsia="Times New Roman" w:hAnsi="Times New Roman" w:cs="Times New Roman"/>
          <w:sz w:val="24"/>
          <w:szCs w:val="24"/>
        </w:rPr>
      </w:pPr>
    </w:p>
    <w:p w:rsidR="00566453" w:rsidRDefault="00786D09">
      <w:pPr>
        <w:ind w:left="360" w:right="360" w:firstLine="809"/>
        <w:rPr>
          <w:rFonts w:ascii="Times New Roman" w:eastAsia="Times New Roman" w:hAnsi="Times New Roman" w:cs="Times New Roman"/>
          <w:sz w:val="24"/>
          <w:szCs w:val="24"/>
        </w:rPr>
      </w:pPr>
      <w:r>
        <w:rPr>
          <w:rFonts w:ascii="Arial" w:eastAsia="Arial" w:hAnsi="Arial" w:cs="Arial"/>
          <w:sz w:val="15"/>
          <w:szCs w:val="15"/>
        </w:rPr>
        <w:t xml:space="preserve">CYCLING TIME TRIALS IS A COMPANY LIMITED BY GUARANTEE REGISTERED IN ENGLAND No: 4413282 Registered Address: C/O DJH Accountants Ltd, </w:t>
      </w:r>
      <w:proofErr w:type="spellStart"/>
      <w:r>
        <w:rPr>
          <w:rFonts w:ascii="Arial" w:eastAsia="Arial" w:hAnsi="Arial" w:cs="Arial"/>
          <w:sz w:val="15"/>
          <w:szCs w:val="15"/>
        </w:rPr>
        <w:t>Porthill</w:t>
      </w:r>
      <w:proofErr w:type="spellEnd"/>
      <w:r>
        <w:rPr>
          <w:rFonts w:ascii="Arial" w:eastAsia="Arial" w:hAnsi="Arial" w:cs="Arial"/>
          <w:sz w:val="15"/>
          <w:szCs w:val="15"/>
        </w:rPr>
        <w:t xml:space="preserve"> Lodge, High Street, </w:t>
      </w:r>
      <w:proofErr w:type="spellStart"/>
      <w:r>
        <w:rPr>
          <w:rFonts w:ascii="Arial" w:eastAsia="Arial" w:hAnsi="Arial" w:cs="Arial"/>
          <w:sz w:val="15"/>
          <w:szCs w:val="15"/>
        </w:rPr>
        <w:t>Wolstanton</w:t>
      </w:r>
      <w:proofErr w:type="spellEnd"/>
      <w:r>
        <w:rPr>
          <w:rFonts w:ascii="Arial" w:eastAsia="Arial" w:hAnsi="Arial" w:cs="Arial"/>
          <w:sz w:val="15"/>
          <w:szCs w:val="15"/>
        </w:rPr>
        <w:t>, Newcastle under Lyme, Staffordshire, ST5 0EZ</w:t>
      </w:r>
    </w:p>
    <w:p w:rsidR="00566453" w:rsidRDefault="00566453">
      <w:pPr>
        <w:rPr>
          <w:rFonts w:ascii="Times New Roman" w:eastAsia="Times New Roman" w:hAnsi="Times New Roman" w:cs="Times New Roman"/>
          <w:sz w:val="24"/>
          <w:szCs w:val="24"/>
        </w:rPr>
      </w:pPr>
    </w:p>
    <w:p w:rsidR="00566453" w:rsidRDefault="00786D09">
      <w:pPr>
        <w:ind w:left="60"/>
        <w:rPr>
          <w:rFonts w:ascii="Times New Roman" w:eastAsia="Times New Roman" w:hAnsi="Times New Roman" w:cs="Times New Roman"/>
          <w:sz w:val="24"/>
          <w:szCs w:val="24"/>
        </w:rPr>
      </w:pPr>
      <w:r>
        <w:rPr>
          <w:rFonts w:ascii="Arial" w:eastAsia="Arial" w:hAnsi="Arial" w:cs="Arial"/>
          <w:sz w:val="16"/>
          <w:szCs w:val="16"/>
        </w:rPr>
        <w:t>Guidance Note 22 – Appendix 2 – Issue 2</w:t>
      </w:r>
      <w:r>
        <w:rPr>
          <w:rFonts w:ascii="Times New Roman" w:eastAsia="Times New Roman" w:hAnsi="Times New Roman" w:cs="Times New Roman"/>
          <w:sz w:val="24"/>
          <w:szCs w:val="24"/>
        </w:rPr>
        <w:tab/>
      </w:r>
      <w:r>
        <w:rPr>
          <w:rFonts w:ascii="Arial" w:eastAsia="Arial" w:hAnsi="Arial" w:cs="Arial"/>
          <w:sz w:val="15"/>
          <w:szCs w:val="15"/>
        </w:rPr>
        <w:t>September 2011</w:t>
      </w:r>
    </w:p>
    <w:p w:rsidR="00566453" w:rsidRDefault="00566453">
      <w:pPr>
        <w:rPr>
          <w:rFonts w:ascii="Times New Roman" w:eastAsia="Times New Roman" w:hAnsi="Times New Roman" w:cs="Times New Roman"/>
          <w:sz w:val="24"/>
          <w:szCs w:val="24"/>
        </w:rPr>
      </w:pPr>
    </w:p>
    <w:p w:rsidR="00566453" w:rsidRDefault="00566453">
      <w:pPr>
        <w:rPr>
          <w:rFonts w:ascii="Times New Roman" w:eastAsia="Times New Roman" w:hAnsi="Times New Roman" w:cs="Times New Roman"/>
          <w:sz w:val="24"/>
          <w:szCs w:val="24"/>
        </w:rPr>
      </w:pPr>
    </w:p>
    <w:sectPr w:rsidR="00566453">
      <w:pgSz w:w="11900" w:h="16838"/>
      <w:pgMar w:top="836" w:right="780" w:bottom="426" w:left="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81CE3"/>
    <w:multiLevelType w:val="multilevel"/>
    <w:tmpl w:val="CE5AE6A6"/>
    <w:lvl w:ilvl="0">
      <w:start w:val="1"/>
      <w:numFmt w:val="decimal"/>
      <w:lvlText w:val="%1."/>
      <w:lvlJc w:val="left"/>
      <w:pPr>
        <w:ind w:left="720" w:hanging="360"/>
      </w:pPr>
      <w:rPr>
        <w:rFonts w:ascii="Calibri" w:eastAsia="Calibri" w:hAnsi="Calibri" w:cs="Calibri"/>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3"/>
    <w:rsid w:val="00566453"/>
    <w:rsid w:val="00786D09"/>
    <w:rsid w:val="00F90D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18"/>
        <w:szCs w:val="18"/>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18"/>
        <w:szCs w:val="18"/>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cyclingtimetrials.org.uk/course-details/u7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Walton</dc:creator>
  <cp:lastModifiedBy>Paul Freegard</cp:lastModifiedBy>
  <cp:revision>2</cp:revision>
  <dcterms:created xsi:type="dcterms:W3CDTF">2019-05-02T08:33:00Z</dcterms:created>
  <dcterms:modified xsi:type="dcterms:W3CDTF">2019-05-02T08:33:00Z</dcterms:modified>
</cp:coreProperties>
</file>